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TRANSPORT · MINIBUS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AVANT </w:t>
      </w:r>
      <w:r>
        <w:rPr>
          <w:b/>
          <w:i w:val="0"/>
          <w:color w:val="5146D8"/>
          <w:sz w:val="44"/>
        </w:rPr>
        <w:t>DE DÉMARRER</w:t>
      </w:r>
    </w:p>
    <w:p>
      <w:r>
        <w:rPr>
          <w:b w:val="0"/>
          <w:i/>
          <w:color w:val="5146D8"/>
          <w:sz w:val="24"/>
        </w:rPr>
        <w:t>le minibus, point par point</w:t>
      </w:r>
    </w:p>
    <w:p>
      <w:r>
        <w:rPr>
          <w:b w:val="0"/>
          <w:i w:val="0"/>
          <w:color w:val="5B6275"/>
          <w:sz w:val="17"/>
        </w:rPr>
        <w:t>Check-list A4 · 1 page · Gratuit · Association ADéPA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LE CONDUCTEUR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Permis valide pour le véhicule.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Autorisé à conduire par la structure.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Reposé, sans alcool ni médicament qui gêne la conduite.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LE VÉHICULE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Pneus, feux, essuie-glaces.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Carburant suffisant pour l’aller-retour.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Gilet et triangle, trousse de secours.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LES PASSAGERS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Une place assise et une ceinture par personne.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Rehausseurs ou sièges adaptés selon l’âge et la taille.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Liste des passagers à bord, comptage fait.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LES PAPIERS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Carte grise et attestation d’assurance.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Fiche de sortie et téléphone de la structure.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Numéros d’urgence.</w:t>
      </w:r>
    </w:p>
    <w:p>
      <w:r>
        <w:rPr>
          <w:b w:val="0"/>
          <w:i w:val="0"/>
          <w:color w:val="5B6275"/>
          <w:sz w:val="17"/>
        </w:rPr>
        <w:t>Modèle à adapter : les obligations exactes dépendent du type d’accueil et de la réglementation en vigueur (code de l’action sociale et des familles, services départementaux de la jeunesse). Vérifiez-les avec votre organisateur.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départ en minibus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