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REPÈRES · ATTENDRE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ENCORE </w:t>
      </w:r>
      <w:r>
        <w:rPr>
          <w:b/>
          <w:i w:val="0"/>
          <w:color w:val="5146D8"/>
          <w:sz w:val="44"/>
        </w:rPr>
        <w:t>COMBIEN DE JOURS ?</w:t>
      </w:r>
    </w:p>
    <w:p>
      <w:r>
        <w:rPr>
          <w:b w:val="0"/>
          <w:i/>
          <w:color w:val="5146D8"/>
          <w:sz w:val="24"/>
        </w:rPr>
        <w:t>je barre une case chaque soir</w:t>
      </w:r>
    </w:p>
    <w:p>
      <w:r>
        <w:rPr>
          <w:b w:val="0"/>
          <w:i w:val="0"/>
          <w:color w:val="5B6275"/>
          <w:sz w:val="17"/>
        </w:rPr>
        <w:t>Affiche A4 · 1 page · Gratuit · Association ADéPA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Le grand jour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Ce qui va se passer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dashed" w:sz="8" w:color="9AA1B4"/>
          <w:left w:val="dashed" w:sz="8" w:color="9AA1B4"/>
          <w:bottom w:val="dashed" w:sz="8" w:color="9AA1B4"/>
          <w:right w:val="dashed" w:sz="8" w:color="9AA1B4"/>
          <w:insideH w:val="dashed" w:sz="8" w:color="9AA1B4"/>
          <w:insideV w:val="dashed" w:sz="8" w:color="9AA1B4"/>
        </w:tblBorders>
      </w:tblPr>
      <w:tblGrid>
        <w:gridCol w:w="2041"/>
        <w:gridCol w:w="2041"/>
        <w:gridCol w:w="2041"/>
        <w:gridCol w:w="2041"/>
        <w:gridCol w:w="2041"/>
      </w:tblGrid>
      <w:tr>
        <w:trPr>
          <w:trHeight w:val="2381" w:hRule="atLeast"/>
        </w:trPr>
        <w:tc>
          <w:tcPr>
            <w:tcW w:type="dxa" w:w="2041"/>
          </w:tcPr>
          <w:p>
            <w:pPr>
              <w:jc w:val="center"/>
            </w:pP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10</w:t>
            </w:r>
          </w:p>
        </w:tc>
        <w:tc>
          <w:tcPr>
            <w:tcW w:type="dxa" w:w="2041"/>
          </w:tcPr>
          <w:p>
            <w:pPr>
              <w:jc w:val="center"/>
            </w:pP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9</w:t>
            </w:r>
          </w:p>
        </w:tc>
        <w:tc>
          <w:tcPr>
            <w:tcW w:type="dxa" w:w="2041"/>
          </w:tcPr>
          <w:p>
            <w:pPr>
              <w:jc w:val="center"/>
            </w:pP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8</w:t>
            </w:r>
          </w:p>
        </w:tc>
        <w:tc>
          <w:tcPr>
            <w:tcW w:type="dxa" w:w="2041"/>
          </w:tcPr>
          <w:p>
            <w:pPr>
              <w:jc w:val="center"/>
            </w:pP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7</w:t>
            </w:r>
          </w:p>
        </w:tc>
        <w:tc>
          <w:tcPr>
            <w:tcW w:type="dxa" w:w="2041"/>
          </w:tcPr>
          <w:p>
            <w:pPr>
              <w:jc w:val="center"/>
            </w:pP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6</w:t>
            </w:r>
          </w:p>
        </w:tc>
      </w:tr>
      <w:tr>
        <w:trPr>
          <w:trHeight w:val="2381" w:hRule="atLeast"/>
        </w:trPr>
        <w:tc>
          <w:tcPr>
            <w:tcW w:type="dxa" w:w="2041"/>
          </w:tcPr>
          <w:p>
            <w:pPr>
              <w:jc w:val="center"/>
            </w:pP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5</w:t>
            </w:r>
          </w:p>
        </w:tc>
        <w:tc>
          <w:tcPr>
            <w:tcW w:type="dxa" w:w="2041"/>
          </w:tcPr>
          <w:p>
            <w:pPr>
              <w:jc w:val="center"/>
            </w:pP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4</w:t>
            </w:r>
          </w:p>
        </w:tc>
        <w:tc>
          <w:tcPr>
            <w:tcW w:type="dxa" w:w="2041"/>
          </w:tcPr>
          <w:p>
            <w:pPr>
              <w:jc w:val="center"/>
            </w:pP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3</w:t>
            </w:r>
          </w:p>
        </w:tc>
        <w:tc>
          <w:tcPr>
            <w:tcW w:type="dxa" w:w="2041"/>
          </w:tcPr>
          <w:p>
            <w:pPr>
              <w:jc w:val="center"/>
            </w:pP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2</w:t>
            </w:r>
          </w:p>
        </w:tc>
        <w:tc>
          <w:tcPr>
            <w:tcW w:type="dxa" w:w="2041"/>
          </w:tcPr>
          <w:p>
            <w:pPr>
              <w:jc w:val="center"/>
            </w:pP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1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dashed" w:sz="8" w:color="9AA1B4"/>
          <w:left w:val="dashed" w:sz="8" w:color="9AA1B4"/>
          <w:bottom w:val="dashed" w:sz="8" w:color="9AA1B4"/>
          <w:right w:val="dashed" w:sz="8" w:color="9AA1B4"/>
          <w:insideH w:val="dashed" w:sz="8" w:color="9AA1B4"/>
          <w:insideV w:val="dashed" w:sz="8" w:color="9AA1B4"/>
        </w:tblBorders>
      </w:tblPr>
      <w:tblGrid>
        <w:gridCol w:w="10206"/>
      </w:tblGrid>
      <w:tr>
        <w:trPr>
          <w:trHeight w:val="2268" w:hRule="atLeast"/>
        </w:trPr>
        <w:tc>
          <w:tcPr>
            <w:tcW w:type="dxa" w:w="10206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🎉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C’est aujourd’hui !</w:t>
            </w:r>
          </w:p>
        </w:tc>
      </w:tr>
    </w:tbl>
    <w:p/>
    <w:p>
      <w:r>
        <w:rPr>
          <w:b w:val="0"/>
          <w:i w:val="0"/>
          <w:color w:val="5B6275"/>
          <w:sz w:val="17"/>
        </w:rPr>
        <w:t>Un changement annoncé se prépare aussi en parole : on montre des photos du lieu, on dit qui sera là, on répond aux questions autant de fois qu’il le faut.</w:t>
      </w:r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Compte à rebours avant un événement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