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ACCUEIL DE LOISIRS · SANTÉ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RENSEIGNEMENTS </w:t>
      </w:r>
      <w:r>
        <w:rPr>
          <w:b/>
          <w:i w:val="0"/>
          <w:color w:val="5146D8"/>
          <w:sz w:val="44"/>
        </w:rPr>
        <w:t>SANITAIRES</w:t>
      </w:r>
    </w:p>
    <w:p>
      <w:r>
        <w:rPr>
          <w:b w:val="0"/>
          <w:i/>
          <w:color w:val="5146D8"/>
          <w:sz w:val="24"/>
        </w:rPr>
        <w:t>confidentiel, réservé à l’équipe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Enfant, date de naissance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Responsable légal et téléphone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Médecin traitant et téléphone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Personne à prévenir en cas d’urgence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VACCINATIONS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Joindre la copie des pages vaccinations du carnet de santé, ou une attestation du médecin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D9454B"/>
          <w:sz w:val="19"/>
        </w:rPr>
        <w:t>ALLERGIES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Alimentaires, médicamenteuses, autres, et conduite à tenir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TRAITEMENT EN COURS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Joindre l’ordonnance et les médicaments dans leur boîte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Projet d’accueil individualisé (PAI) : oui / non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Régime alimentaire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Autres informations utiles (lunettes, appareil, peurs, sommeil)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sz w:val="21"/>
        </w:rPr>
        <w:t>J’autorise le responsable de l’accueil à prendre, le cas échéant, toutes les mesures rendues nécessaires par l’état de santé de mon enfant, en lien avec les services de secours.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361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DATE ET SIGNATURE DU RESPONSABLE LÉGAL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Ces informations sont confidentielles : elles ne sont accessibles qu’aux personnes qui en ont besoin pour la sécurité de l’enfant, et sont détruites à la fin de l’accueil. Modèle à adapter : les obligations exactes dépendent du type d’accueil et de la réglementation en vigueur (code de l’action sociale et des familles, services départementaux de la jeunesse). Vérifiez-les avec votre organisateur.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renseignements sanitaires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