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ACCUEIL DE LOISIRS · INCIDENT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FICHE </w:t>
      </w:r>
      <w:r>
        <w:rPr>
          <w:b/>
          <w:i w:val="0"/>
          <w:color w:val="5146D8"/>
          <w:sz w:val="44"/>
        </w:rPr>
        <w:t>INCIDENT OU ACCIDENT</w:t>
      </w:r>
    </w:p>
    <w:p>
      <w:r>
        <w:rPr>
          <w:b w:val="0"/>
          <w:i/>
          <w:color w:val="5146D8"/>
          <w:sz w:val="24"/>
        </w:rPr>
        <w:t>le jour même, des faits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Enfant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Date, heure, 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Activité en cours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Rédigé par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QUI S’EST PASSÉ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Dans l’ordre, sans interprétation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SOINS DONNÉS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PERSONNES PRÉVENUES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Famille, direction, secours, à quelle heure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Témoins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Suites données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DU RÉDACTEUR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VISA DE LA DIRECTION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Un accident grave fait l’objet d’une déclaration aux services de l’État selon la procédure en vigueur : cette fiche ne la remplace pas. Modèle à adapter : les obligations exactes dépendent du type d’accueil et de la réglementation en vigueur (code de l’action sociale et des familles, services départementaux de la jeunesse). Vérifiez-les avec votre organisateur.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incident ou accident en accueil de loisirs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