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CONNAÎTRE LA PERSONNE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CE QUI ME FAIT </w:t>
      </w:r>
      <w:r>
        <w:rPr>
          <w:b/>
          <w:i w:val="0"/>
          <w:color w:val="5146D8"/>
          <w:sz w:val="44"/>
        </w:rPr>
        <w:t>PLAISIR</w:t>
      </w:r>
    </w:p>
    <w:p>
      <w:r>
        <w:rPr>
          <w:b w:val="0"/>
          <w:i/>
          <w:color w:val="5146D8"/>
          <w:sz w:val="24"/>
        </w:rPr>
        <w:t>rempli avec moi, pas à ma place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remplissez ce document avec la personne, en lui montrant des objets ou des images si besoin. Ce qui motive change : on le relit tous les deux mois.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F8A5B"/>
          <w:sz w:val="19"/>
        </w:rPr>
        <w:t>LES ACTIVITÉS QUE J’AIME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LES OBJETS QUE J’AIME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LES MOMENTS PARTAGÉS QUE J’AIME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QUE J’AIME ENTENDRE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CE QUE JE N’AIME PAS, OU QUI ME GÊNE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Félicitations en public, contact, bruit… à noter ici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Rempli 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Avec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 ce qui motive la personne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