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ACCUEIL DE LOISIRS · SÉCURITÉ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MA TROUSSE </w:t>
      </w:r>
      <w:r>
        <w:rPr>
          <w:b/>
          <w:i w:val="0"/>
          <w:color w:val="5146D8"/>
          <w:sz w:val="44"/>
        </w:rPr>
        <w:t>DE PREMIERS SOINS</w:t>
      </w:r>
    </w:p>
    <w:p>
      <w:r>
        <w:rPr>
          <w:b w:val="0"/>
          <w:i/>
          <w:color w:val="5146D8"/>
          <w:sz w:val="24"/>
        </w:rPr>
        <w:t>vérifiée avant chaque sortie</w:t>
      </w:r>
    </w:p>
    <w:p>
      <w:r>
        <w:rPr>
          <w:b w:val="0"/>
          <w:i w:val="0"/>
          <w:color w:val="5B6275"/>
          <w:sz w:val="17"/>
        </w:rPr>
        <w:t>Check-list A4 · 1 page · Gratuit · Association ADéPA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4082"/>
        <w:gridCol w:w="1429"/>
        <w:gridCol w:w="1633"/>
        <w:gridCol w:w="1531"/>
        <w:gridCol w:w="1531"/>
      </w:tblGrid>
      <w:tr>
        <w:tc>
          <w:tcPr>
            <w:tcW w:type="dxa" w:w="408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Élément</w:t>
            </w:r>
          </w:p>
        </w:tc>
        <w:tc>
          <w:tcPr>
            <w:tcW w:type="dxa" w:w="142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Quantité</w:t>
            </w:r>
          </w:p>
        </w:tc>
        <w:tc>
          <w:tcPr>
            <w:tcW w:type="dxa" w:w="163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Péremption</w:t>
            </w:r>
          </w:p>
        </w:tc>
        <w:tc>
          <w:tcPr>
            <w:tcW w:type="dxa" w:w="153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Vérifié le</w:t>
            </w:r>
          </w:p>
        </w:tc>
        <w:tc>
          <w:tcPr>
            <w:tcW w:type="dxa" w:w="153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Par</w:t>
            </w:r>
          </w:p>
        </w:tc>
      </w:tr>
      <w:tr>
        <w:trPr>
          <w:trHeight w:val="510" w:hRule="atLeast"/>
        </w:trP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Compresses stériles</w:t>
            </w:r>
          </w:p>
        </w:tc>
        <w:tc>
          <w:tcPr>
            <w:tcW w:type="dxa" w:w="1429"/>
          </w:tcPr>
          <w:p/>
        </w:tc>
        <w:tc>
          <w:tcPr>
            <w:tcW w:type="dxa" w:w="1633"/>
          </w:tcPr>
          <w:p/>
        </w:tc>
        <w:tc>
          <w:tcPr>
            <w:tcW w:type="dxa" w:w="153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</w:trP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Pansements de tailles variées</w:t>
            </w:r>
          </w:p>
        </w:tc>
        <w:tc>
          <w:tcPr>
            <w:tcW w:type="dxa" w:w="1429"/>
          </w:tcPr>
          <w:p/>
        </w:tc>
        <w:tc>
          <w:tcPr>
            <w:tcW w:type="dxa" w:w="1633"/>
          </w:tcPr>
          <w:p/>
        </w:tc>
        <w:tc>
          <w:tcPr>
            <w:tcW w:type="dxa" w:w="153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</w:trP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Bande de gaze et sparadrap</w:t>
            </w:r>
          </w:p>
        </w:tc>
        <w:tc>
          <w:tcPr>
            <w:tcW w:type="dxa" w:w="1429"/>
          </w:tcPr>
          <w:p/>
        </w:tc>
        <w:tc>
          <w:tcPr>
            <w:tcW w:type="dxa" w:w="1633"/>
          </w:tcPr>
          <w:p/>
        </w:tc>
        <w:tc>
          <w:tcPr>
            <w:tcW w:type="dxa" w:w="153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</w:trP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Solution de lavage (sérum physiologique en dosettes)</w:t>
            </w:r>
          </w:p>
        </w:tc>
        <w:tc>
          <w:tcPr>
            <w:tcW w:type="dxa" w:w="1429"/>
          </w:tcPr>
          <w:p/>
        </w:tc>
        <w:tc>
          <w:tcPr>
            <w:tcW w:type="dxa" w:w="1633"/>
          </w:tcPr>
          <w:p/>
        </w:tc>
        <w:tc>
          <w:tcPr>
            <w:tcW w:type="dxa" w:w="153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</w:trP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Antiseptique sans alcool</w:t>
            </w:r>
          </w:p>
        </w:tc>
        <w:tc>
          <w:tcPr>
            <w:tcW w:type="dxa" w:w="1429"/>
          </w:tcPr>
          <w:p/>
        </w:tc>
        <w:tc>
          <w:tcPr>
            <w:tcW w:type="dxa" w:w="1633"/>
          </w:tcPr>
          <w:p/>
        </w:tc>
        <w:tc>
          <w:tcPr>
            <w:tcW w:type="dxa" w:w="153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</w:trP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Ciseaux à bouts ronds</w:t>
            </w:r>
          </w:p>
        </w:tc>
        <w:tc>
          <w:tcPr>
            <w:tcW w:type="dxa" w:w="1429"/>
          </w:tcPr>
          <w:p/>
        </w:tc>
        <w:tc>
          <w:tcPr>
            <w:tcW w:type="dxa" w:w="1633"/>
          </w:tcPr>
          <w:p/>
        </w:tc>
        <w:tc>
          <w:tcPr>
            <w:tcW w:type="dxa" w:w="153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</w:trP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Pince à échardes</w:t>
            </w:r>
          </w:p>
        </w:tc>
        <w:tc>
          <w:tcPr>
            <w:tcW w:type="dxa" w:w="1429"/>
          </w:tcPr>
          <w:p/>
        </w:tc>
        <w:tc>
          <w:tcPr>
            <w:tcW w:type="dxa" w:w="1633"/>
          </w:tcPr>
          <w:p/>
        </w:tc>
        <w:tc>
          <w:tcPr>
            <w:tcW w:type="dxa" w:w="153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</w:trP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Gants jetables</w:t>
            </w:r>
          </w:p>
        </w:tc>
        <w:tc>
          <w:tcPr>
            <w:tcW w:type="dxa" w:w="1429"/>
          </w:tcPr>
          <w:p/>
        </w:tc>
        <w:tc>
          <w:tcPr>
            <w:tcW w:type="dxa" w:w="1633"/>
          </w:tcPr>
          <w:p/>
        </w:tc>
        <w:tc>
          <w:tcPr>
            <w:tcW w:type="dxa" w:w="153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</w:trP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Couverture de survie</w:t>
            </w:r>
          </w:p>
        </w:tc>
        <w:tc>
          <w:tcPr>
            <w:tcW w:type="dxa" w:w="1429"/>
          </w:tcPr>
          <w:p/>
        </w:tc>
        <w:tc>
          <w:tcPr>
            <w:tcW w:type="dxa" w:w="1633"/>
          </w:tcPr>
          <w:p/>
        </w:tc>
        <w:tc>
          <w:tcPr>
            <w:tcW w:type="dxa" w:w="153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</w:trP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Poche de froid instantané</w:t>
            </w:r>
          </w:p>
        </w:tc>
        <w:tc>
          <w:tcPr>
            <w:tcW w:type="dxa" w:w="1429"/>
          </w:tcPr>
          <w:p/>
        </w:tc>
        <w:tc>
          <w:tcPr>
            <w:tcW w:type="dxa" w:w="1633"/>
          </w:tcPr>
          <w:p/>
        </w:tc>
        <w:tc>
          <w:tcPr>
            <w:tcW w:type="dxa" w:w="153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</w:trP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Sacs pour déchets</w:t>
            </w:r>
          </w:p>
        </w:tc>
        <w:tc>
          <w:tcPr>
            <w:tcW w:type="dxa" w:w="1429"/>
          </w:tcPr>
          <w:p/>
        </w:tc>
        <w:tc>
          <w:tcPr>
            <w:tcW w:type="dxa" w:w="1633"/>
          </w:tcPr>
          <w:p/>
        </w:tc>
        <w:tc>
          <w:tcPr>
            <w:tcW w:type="dxa" w:w="153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</w:trP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Fiche des numéros d’urgence</w:t>
            </w:r>
          </w:p>
        </w:tc>
        <w:tc>
          <w:tcPr>
            <w:tcW w:type="dxa" w:w="1429"/>
          </w:tcPr>
          <w:p/>
        </w:tc>
        <w:tc>
          <w:tcPr>
            <w:tcW w:type="dxa" w:w="1633"/>
          </w:tcPr>
          <w:p/>
        </w:tc>
        <w:tc>
          <w:tcPr>
            <w:tcW w:type="dxa" w:w="1531"/>
          </w:tcPr>
          <w:p/>
        </w:tc>
        <w:tc>
          <w:tcPr>
            <w:tcW w:type="dxa" w:w="1531"/>
          </w:tcPr>
          <w:p/>
        </w:tc>
      </w:tr>
      <w:tr>
        <w:trPr>
          <w:trHeight w:val="510" w:hRule="atLeast"/>
        </w:trPr>
        <w:tc>
          <w:tcPr>
            <w:tcW w:type="dxa" w:w="4082"/>
          </w:tcPr>
          <w:p>
            <w:r>
              <w:rPr>
                <w:b w:val="0"/>
                <w:i w:val="0"/>
                <w:sz w:val="20"/>
              </w:rPr>
              <w:t>Fiches des enfants (allergies, PAI) et traitements prévus</w:t>
            </w:r>
          </w:p>
        </w:tc>
        <w:tc>
          <w:tcPr>
            <w:tcW w:type="dxa" w:w="1429"/>
          </w:tcPr>
          <w:p/>
        </w:tc>
        <w:tc>
          <w:tcPr>
            <w:tcW w:type="dxa" w:w="1633"/>
          </w:tcPr>
          <w:p/>
        </w:tc>
        <w:tc>
          <w:tcPr>
            <w:tcW w:type="dxa" w:w="1531"/>
          </w:tcPr>
          <w:p/>
        </w:tc>
        <w:tc>
          <w:tcPr>
            <w:tcW w:type="dxa" w:w="1531"/>
          </w:tcPr>
          <w:p/>
        </w:tc>
      </w:tr>
    </w:tbl>
    <w:p/>
    <w:p>
      <w:r>
        <w:rPr>
          <w:b w:val="0"/>
          <w:i w:val="0"/>
          <w:color w:val="5B6275"/>
          <w:sz w:val="17"/>
        </w:rPr>
        <w:t>La composition de la trousse est à valider avec le référent santé de votre structure. Les médicaments n’y entrent que sur ordonnance, au nom de l’enfant.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Inventaire de la trousse de premiers soins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