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ÉCRITS · LIAISON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CAHIER </w:t>
      </w:r>
      <w:r>
        <w:rPr>
          <w:b/>
          <w:i w:val="0"/>
          <w:color w:val="5146D8"/>
          <w:sz w:val="44"/>
        </w:rPr>
        <w:t>DE LIAISON</w:t>
      </w:r>
    </w:p>
    <w:p>
      <w:r>
        <w:rPr>
          <w:b w:val="0"/>
          <w:i/>
          <w:color w:val="5146D8"/>
          <w:sz w:val="24"/>
        </w:rPr>
        <w:t>un mot de chaque côté</w:t>
      </w:r>
    </w:p>
    <w:p>
      <w:r>
        <w:rPr>
          <w:b w:val="0"/>
          <w:i w:val="0"/>
          <w:color w:val="5B6275"/>
          <w:sz w:val="17"/>
        </w:rPr>
        <w:t>Page A4 · 2 jours par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Date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Rempli par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À LA STRUCTURE AUJOURD’HUI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Activités, repas, sommeil, moments forts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F8A5B"/>
          <w:sz w:val="19"/>
        </w:rPr>
        <w:t>À LA MAISON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Un mot de la famille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Rempli par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À LA STRUCTURE AUJOURD’HUI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Activités, repas, sommeil, moments forts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F8A5B"/>
          <w:sz w:val="19"/>
        </w:rPr>
        <w:t>À LA MAISON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Un mot de la famille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de cahier de liaison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