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ACCUEIL DE LOISIRS · DÉPART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QUI VIENT </w:t>
      </w:r>
      <w:r>
        <w:rPr>
          <w:b/>
          <w:i w:val="0"/>
          <w:color w:val="5146D8"/>
          <w:sz w:val="44"/>
        </w:rPr>
        <w:t>ME CHERCHER ?</w:t>
      </w:r>
    </w:p>
    <w:p>
      <w:r>
        <w:rPr>
          <w:b w:val="0"/>
          <w:i/>
          <w:color w:val="5146D8"/>
          <w:sz w:val="24"/>
        </w:rPr>
        <w:t>personne d’autre sans accord écrit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Enfant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Responsable légal qui remplit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266"/>
        <w:gridCol w:w="2245"/>
        <w:gridCol w:w="2245"/>
        <w:gridCol w:w="2449"/>
      </w:tblGrid>
      <w:tr>
        <w:tc>
          <w:tcPr>
            <w:tcW w:type="dxa" w:w="3266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Nom et prénom</w:t>
            </w:r>
          </w:p>
        </w:tc>
        <w:tc>
          <w:tcPr>
            <w:tcW w:type="dxa" w:w="224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Lien avec l’enfant</w:t>
            </w:r>
          </w:p>
        </w:tc>
        <w:tc>
          <w:tcPr>
            <w:tcW w:type="dxa" w:w="224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Téléphone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Valable jusqu’au</w:t>
            </w:r>
          </w:p>
        </w:tc>
      </w:tr>
      <w:tr>
        <w:trPr>
          <w:trHeight w:val="680" w:hRule="atLeast"/>
        </w:trPr>
        <w:tc>
          <w:tcPr>
            <w:tcW w:type="dxa" w:w="3266"/>
          </w:tcPr>
          <w:p/>
        </w:tc>
        <w:tc>
          <w:tcPr>
            <w:tcW w:type="dxa" w:w="2245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680" w:hRule="atLeast"/>
        </w:trPr>
        <w:tc>
          <w:tcPr>
            <w:tcW w:type="dxa" w:w="3266"/>
          </w:tcPr>
          <w:p/>
        </w:tc>
        <w:tc>
          <w:tcPr>
            <w:tcW w:type="dxa" w:w="2245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680" w:hRule="atLeast"/>
        </w:trPr>
        <w:tc>
          <w:tcPr>
            <w:tcW w:type="dxa" w:w="3266"/>
          </w:tcPr>
          <w:p/>
        </w:tc>
        <w:tc>
          <w:tcPr>
            <w:tcW w:type="dxa" w:w="2245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680" w:hRule="atLeast"/>
        </w:trPr>
        <w:tc>
          <w:tcPr>
            <w:tcW w:type="dxa" w:w="3266"/>
          </w:tcPr>
          <w:p/>
        </w:tc>
        <w:tc>
          <w:tcPr>
            <w:tcW w:type="dxa" w:w="2245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680" w:hRule="atLeast"/>
        </w:trPr>
        <w:tc>
          <w:tcPr>
            <w:tcW w:type="dxa" w:w="3266"/>
          </w:tcPr>
          <w:p/>
        </w:tc>
        <w:tc>
          <w:tcPr>
            <w:tcW w:type="dxa" w:w="2245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680" w:hRule="atLeast"/>
        </w:trPr>
        <w:tc>
          <w:tcPr>
            <w:tcW w:type="dxa" w:w="3266"/>
          </w:tcPr>
          <w:p/>
        </w:tc>
        <w:tc>
          <w:tcPr>
            <w:tcW w:type="dxa" w:w="2245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D9454B"/>
          <w:sz w:val="19"/>
        </w:rPr>
        <w:t>LA RÈGLE</w:t>
      </w:r>
    </w:p>
    <w:p>
      <w:pPr>
        <w:pStyle w:val="ListBullet"/>
      </w:pPr>
      <w:r>
        <w:rPr>
          <w:b w:val="0"/>
          <w:i w:val="0"/>
          <w:sz w:val="20"/>
        </w:rPr>
        <w:t>Une personne qui n’est pas sur cette liste ne repart pas avec l’enfant sans accord écrit du responsable légal.</w:t>
      </w:r>
    </w:p>
    <w:p>
      <w:pPr>
        <w:pStyle w:val="ListBullet"/>
      </w:pPr>
      <w:r>
        <w:rPr>
          <w:b w:val="0"/>
          <w:i w:val="0"/>
          <w:sz w:val="20"/>
        </w:rPr>
        <w:t>L’équipe peut demander une pièce d’identité, surtout la première fois.</w:t>
      </w:r>
    </w:p>
    <w:p>
      <w:pPr>
        <w:pStyle w:val="ListBullet"/>
      </w:pPr>
      <w:r>
        <w:rPr>
          <w:b w:val="0"/>
          <w:i w:val="0"/>
          <w:sz w:val="20"/>
        </w:rPr>
        <w:t>Le responsable légal prévient l’équipe de tout changement.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36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DATE ET SIGNATURE DU RESPONSABLE LÉGAL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Personnes autorisées à récupérer l’enfant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