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SÉJOUR · NUIT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PLAN </w:t>
      </w:r>
      <w:r>
        <w:rPr>
          <w:b/>
          <w:i w:val="0"/>
          <w:color w:val="5146D8"/>
          <w:sz w:val="44"/>
        </w:rPr>
        <w:t>DE COUCHAGE</w:t>
      </w:r>
    </w:p>
    <w:p>
      <w:r>
        <w:rPr>
          <w:b w:val="0"/>
          <w:i/>
          <w:color w:val="5146D8"/>
          <w:sz w:val="24"/>
        </w:rPr>
        <w:t>qui dort où, qui veille</w:t>
      </w:r>
    </w:p>
    <w:p>
      <w:r>
        <w:rPr>
          <w:b w:val="0"/>
          <w:i w:val="0"/>
          <w:color w:val="5B6275"/>
          <w:sz w:val="17"/>
        </w:rPr>
        <w:t>Tableau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Séjour et 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Dates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4082"/>
        <w:gridCol w:w="2245"/>
        <w:gridCol w:w="2449"/>
      </w:tblGrid>
      <w:tr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Chambre</w:t>
            </w:r>
          </w:p>
        </w:tc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Enfants</w:t>
            </w:r>
          </w:p>
        </w:tc>
        <w:tc>
          <w:tcPr>
            <w:tcW w:type="dxa" w:w="224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Animateur de proximité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Besoins de nuit</w:t>
            </w:r>
          </w:p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/>
        </w:tc>
        <w:tc>
          <w:tcPr>
            <w:tcW w:type="dxa" w:w="4082"/>
          </w:tcPr>
          <w:p/>
        </w:tc>
        <w:tc>
          <w:tcPr>
            <w:tcW w:type="dxa" w:w="2245"/>
          </w:tcPr>
          <w:p/>
        </w:tc>
        <w:tc>
          <w:tcPr>
            <w:tcW w:type="dxa" w:w="2449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Filles et garçons dorment dans des chambres séparées à partir de l’âge fixé par la réglementation de votre accueil. Les enfants de moins de six ans ont des conditions propres : vérifiez-les. Modèle à adapter : les obligations exactes dépendent du type d’accueil et de la réglementation en vigueur (code de l’action sociale et des familles, services départementaux de la jeunesse). Vérifiez-les avec votre organisateur.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couchage d’un séjour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