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ORGANISATION · PLANNING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PLANNING </w:t>
      </w:r>
      <w:r>
        <w:rPr>
          <w:b/>
          <w:i w:val="0"/>
          <w:color w:val="5146D8"/>
          <w:sz w:val="44"/>
        </w:rPr>
        <w:t>DE L’ÉQUIPE</w:t>
      </w:r>
    </w:p>
    <w:p>
      <w:r>
        <w:rPr>
          <w:b w:val="0"/>
          <w:i/>
          <w:color w:val="5146D8"/>
          <w:sz w:val="24"/>
        </w:rPr>
        <w:t>qui est là, quand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Semaine du … au …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Service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427"/>
        <w:gridCol w:w="1578"/>
        <w:gridCol w:w="1578"/>
        <w:gridCol w:w="1578"/>
        <w:gridCol w:w="1578"/>
        <w:gridCol w:w="1578"/>
        <w:gridCol w:w="1578"/>
        <w:gridCol w:w="1578"/>
        <w:gridCol w:w="1669"/>
      </w:tblGrid>
      <w:tr>
        <w:tc>
          <w:tcPr>
            <w:tcW w:type="dxa" w:w="242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Prénom</w:t>
            </w:r>
          </w:p>
        </w:tc>
        <w:tc>
          <w:tcPr>
            <w:tcW w:type="dxa" w:w="157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Lundi</w:t>
            </w:r>
          </w:p>
        </w:tc>
        <w:tc>
          <w:tcPr>
            <w:tcW w:type="dxa" w:w="157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Mardi</w:t>
            </w:r>
          </w:p>
        </w:tc>
        <w:tc>
          <w:tcPr>
            <w:tcW w:type="dxa" w:w="157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Mercredi</w:t>
            </w:r>
          </w:p>
        </w:tc>
        <w:tc>
          <w:tcPr>
            <w:tcW w:type="dxa" w:w="157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Jeudi</w:t>
            </w:r>
          </w:p>
        </w:tc>
        <w:tc>
          <w:tcPr>
            <w:tcW w:type="dxa" w:w="157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Vendredi</w:t>
            </w:r>
          </w:p>
        </w:tc>
        <w:tc>
          <w:tcPr>
            <w:tcW w:type="dxa" w:w="157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Samedi</w:t>
            </w:r>
          </w:p>
        </w:tc>
        <w:tc>
          <w:tcPr>
            <w:tcW w:type="dxa" w:w="157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Dimanche</w:t>
            </w:r>
          </w:p>
        </w:tc>
        <w:tc>
          <w:tcPr>
            <w:tcW w:type="dxa" w:w="166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Heures</w:t>
            </w:r>
          </w:p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rPr>
          <w:trHeight w:val="454" w:hRule="atLeast"/>
        </w:trPr>
        <w:tc>
          <w:tcPr>
            <w:tcW w:type="dxa" w:w="242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669"/>
          </w:tcPr>
          <w:p/>
        </w:tc>
      </w:tr>
      <w:tr>
        <w:tc>
          <w:tcPr>
            <w:tcW w:type="dxa" w:w="2427"/>
            <w:shd w:val="clear" w:color="auto" w:fill="F5F6FB"/>
          </w:tcPr>
          <w:p>
            <w:r>
              <w:rPr>
                <w:b/>
                <w:i w:val="0"/>
                <w:sz w:val="20"/>
              </w:rPr>
              <w:t>Total</w:t>
            </w:r>
          </w:p>
        </w:tc>
        <w:tc>
          <w:tcPr>
            <w:tcW w:type="dxa" w:w="1578"/>
            <w:shd w:val="clear" w:color="auto" w:fill="F5F6FB"/>
          </w:tcPr>
          <w:p/>
        </w:tc>
        <w:tc>
          <w:tcPr>
            <w:tcW w:type="dxa" w:w="1578"/>
            <w:shd w:val="clear" w:color="auto" w:fill="F5F6FB"/>
          </w:tcPr>
          <w:p/>
        </w:tc>
        <w:tc>
          <w:tcPr>
            <w:tcW w:type="dxa" w:w="1578"/>
            <w:shd w:val="clear" w:color="auto" w:fill="F5F6FB"/>
          </w:tcPr>
          <w:p/>
        </w:tc>
        <w:tc>
          <w:tcPr>
            <w:tcW w:type="dxa" w:w="1578"/>
            <w:shd w:val="clear" w:color="auto" w:fill="F5F6FB"/>
          </w:tcPr>
          <w:p/>
        </w:tc>
        <w:tc>
          <w:tcPr>
            <w:tcW w:type="dxa" w:w="1578"/>
            <w:shd w:val="clear" w:color="auto" w:fill="F5F6FB"/>
          </w:tcPr>
          <w:p/>
        </w:tc>
        <w:tc>
          <w:tcPr>
            <w:tcW w:type="dxa" w:w="1578"/>
            <w:shd w:val="clear" w:color="auto" w:fill="F5F6FB"/>
          </w:tcPr>
          <w:p/>
        </w:tc>
        <w:tc>
          <w:tcPr>
            <w:tcW w:type="dxa" w:w="1578"/>
            <w:shd w:val="clear" w:color="auto" w:fill="F5F6FB"/>
          </w:tcPr>
          <w:p/>
        </w:tc>
        <w:tc>
          <w:tcPr>
            <w:tcW w:type="dxa" w:w="1669"/>
            <w:shd w:val="clear" w:color="auto" w:fill="F5F6FB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Dans chaque case : l’horaire (ex. 7 h-14 h) ou R pour repos, C pour congé. La colonne Heures se remplit à la main ou se calcule dans la version Excel.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d’équipe de la semaine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