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PROGRAMME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 PROGRAMME </w:t>
      </w:r>
      <w:r>
        <w:rPr>
          <w:b/>
          <w:i w:val="0"/>
          <w:color w:val="5146D8"/>
          <w:sz w:val="44"/>
        </w:rPr>
        <w:t>DE LA SEMAINE</w:t>
      </w:r>
    </w:p>
    <w:p>
      <w:r>
        <w:rPr>
          <w:b w:val="0"/>
          <w:i/>
          <w:color w:val="5146D8"/>
          <w:sz w:val="24"/>
        </w:rPr>
        <w:t>à afficher pour les familles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Semaine du … au …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Thème de la semaine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422"/>
        <w:gridCol w:w="2543"/>
        <w:gridCol w:w="2543"/>
        <w:gridCol w:w="2543"/>
        <w:gridCol w:w="2543"/>
        <w:gridCol w:w="2543"/>
      </w:tblGrid>
      <w:tr>
        <w:tc>
          <w:tcPr>
            <w:tcW w:type="dxa" w:w="2422"/>
            <w:shd w:val="clear" w:color="auto" w:fill="5146D8"/>
          </w:tcPr>
          <w:p/>
        </w:tc>
        <w:tc>
          <w:tcPr>
            <w:tcW w:type="dxa" w:w="254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254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254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254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254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</w:tr>
      <w:tr>
        <w:trPr>
          <w:trHeight w:val="147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Matin</w:t>
            </w:r>
          </w:p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</w:tr>
      <w:tr>
        <w:trPr>
          <w:trHeight w:val="147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Repas</w:t>
            </w:r>
          </w:p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</w:tr>
      <w:tr>
        <w:trPr>
          <w:trHeight w:val="147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Après-midi</w:t>
            </w:r>
          </w:p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</w:tr>
      <w:tr>
        <w:trPr>
          <w:trHeight w:val="147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À prévoir</w:t>
            </w:r>
          </w:p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  <w:tc>
          <w:tcPr>
            <w:tcW w:type="dxa" w:w="2543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Le programme peut changer selon la météo et l’envie du groupe. Les sorties sont confirmées la veille.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la semaine d’accueil de loisirs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