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OBSERVER · COMPTER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RELEVÉ </w:t>
      </w:r>
      <w:r>
        <w:rPr>
          <w:b/>
          <w:i w:val="0"/>
          <w:color w:val="5146D8"/>
          <w:sz w:val="44"/>
        </w:rPr>
        <w:t>DE FRÉQUENCE</w:t>
      </w:r>
    </w:p>
    <w:p>
      <w:r>
        <w:rPr>
          <w:b w:val="0"/>
          <w:i/>
          <w:color w:val="5146D8"/>
          <w:sz w:val="24"/>
        </w:rPr>
        <w:t>compter avant d’agir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Le comportement observé, décrit pour que deux collègues comptent la même chose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422"/>
        <w:gridCol w:w="1272"/>
        <w:gridCol w:w="1272"/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242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Moment</w:t>
            </w:r>
          </w:p>
        </w:tc>
        <w:tc>
          <w:tcPr>
            <w:tcW w:type="dxa" w:w="127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 s1</w:t>
            </w:r>
          </w:p>
        </w:tc>
        <w:tc>
          <w:tcPr>
            <w:tcW w:type="dxa" w:w="127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 s1</w:t>
            </w:r>
          </w:p>
        </w:tc>
        <w:tc>
          <w:tcPr>
            <w:tcW w:type="dxa" w:w="127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 s1</w:t>
            </w:r>
          </w:p>
        </w:tc>
        <w:tc>
          <w:tcPr>
            <w:tcW w:type="dxa" w:w="127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 s1</w:t>
            </w:r>
          </w:p>
        </w:tc>
        <w:tc>
          <w:tcPr>
            <w:tcW w:type="dxa" w:w="127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 s1</w:t>
            </w:r>
          </w:p>
        </w:tc>
        <w:tc>
          <w:tcPr>
            <w:tcW w:type="dxa" w:w="127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 s2</w:t>
            </w:r>
          </w:p>
        </w:tc>
        <w:tc>
          <w:tcPr>
            <w:tcW w:type="dxa" w:w="127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 s2</w:t>
            </w:r>
          </w:p>
        </w:tc>
        <w:tc>
          <w:tcPr>
            <w:tcW w:type="dxa" w:w="127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 s2</w:t>
            </w:r>
          </w:p>
        </w:tc>
        <w:tc>
          <w:tcPr>
            <w:tcW w:type="dxa" w:w="127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 s2</w:t>
            </w:r>
          </w:p>
        </w:tc>
        <w:tc>
          <w:tcPr>
            <w:tcW w:type="dxa" w:w="127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 s2</w:t>
            </w:r>
          </w:p>
        </w:tc>
      </w:tr>
      <w:tr>
        <w:trPr>
          <w:trHeight w:val="794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Arrivée</w:t>
            </w:r>
          </w:p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</w:tr>
      <w:tr>
        <w:trPr>
          <w:trHeight w:val="794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Matinée</w:t>
            </w:r>
          </w:p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</w:tr>
      <w:tr>
        <w:trPr>
          <w:trHeight w:val="794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Repas</w:t>
            </w:r>
          </w:p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</w:tr>
      <w:tr>
        <w:trPr>
          <w:trHeight w:val="794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Après-midi</w:t>
            </w:r>
          </w:p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</w:tr>
      <w:tr>
        <w:trPr>
          <w:trHeight w:val="794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Fin de journée</w:t>
            </w:r>
          </w:p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</w:tr>
      <w:tr>
        <w:trPr>
          <w:trHeight w:val="794" w:hRule="atLeast"/>
        </w:trPr>
        <w:tc>
          <w:tcPr>
            <w:tcW w:type="dxa" w:w="2422"/>
          </w:tcPr>
          <w:p>
            <w:r>
              <w:rPr>
                <w:b/>
                <w:i w:val="0"/>
                <w:sz w:val="20"/>
              </w:rPr>
              <w:t>Total du jour</w:t>
            </w:r>
          </w:p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  <w:tc>
          <w:tcPr>
            <w:tcW w:type="dxa" w:w="1272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Une barre par fois. On compare la semaine 1 et la semaine 2 avant de conclure : un seul jour difficile ne dit rien.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Relevé de fréquence sur deux semaines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