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MOTIVATION · TABLEAU À JETONS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JE GAGNE </w:t>
      </w:r>
      <w:r>
        <w:rPr>
          <w:b/>
          <w:i w:val="0"/>
          <w:color w:val="5146D8"/>
          <w:sz w:val="44"/>
        </w:rPr>
        <w:t>10 JETONS</w:t>
      </w:r>
    </w:p>
    <w:p>
      <w:r>
        <w:rPr>
          <w:b w:val="0"/>
          <w:i/>
          <w:color w:val="5146D8"/>
          <w:sz w:val="24"/>
        </w:rPr>
        <w:t>quand cinq, c’est déjà facile</w:t>
      </w:r>
    </w:p>
    <w:p>
      <w:r>
        <w:rPr>
          <w:b w:val="0"/>
          <w:i w:val="0"/>
          <w:color w:val="5B6275"/>
          <w:sz w:val="17"/>
        </w:rPr>
        <w:t>Support A4 · 1 page · Gratuit · Association ADéPA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JE TRAVAILLE POUR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2551" w:hRule="atLeast"/>
        </w:trPr>
        <w:tc>
          <w:tcPr>
            <w:tcW w:type="dxa" w:w="10206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MES JETONS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rHeight w:val="1928" w:hRule="atLeast"/>
        </w:trPr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  <w:tr>
        <w:trPr>
          <w:trHeight w:val="1928" w:hRule="atLeast"/>
        </w:trPr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POUR L’ADULTE</w:t>
      </w:r>
    </w:p>
    <w:p>
      <w:pPr>
        <w:pStyle w:val="ListBullet"/>
      </w:pPr>
      <w:r>
        <w:rPr>
          <w:b w:val="0"/>
          <w:i w:val="0"/>
          <w:sz w:val="20"/>
        </w:rPr>
        <w:t>On passe de 5 à 10 jetons seulement quand le tableau à 5 réussit presque à chaque fois.</w:t>
      </w:r>
    </w:p>
    <w:p>
      <w:pPr>
        <w:pStyle w:val="ListBullet"/>
      </w:pPr>
      <w:r>
        <w:rPr>
          <w:b w:val="0"/>
          <w:i w:val="0"/>
          <w:sz w:val="20"/>
        </w:rPr>
        <w:t>Si l’enfant décroche, on revient à 5 : ce n’est pas un échec, c’est un réglage.</w:t>
      </w:r>
    </w:p>
    <w:p>
      <w:pPr>
        <w:pStyle w:val="ListBullet"/>
      </w:pPr>
      <w:r>
        <w:rPr>
          <w:b w:val="0"/>
          <w:i w:val="0"/>
          <w:sz w:val="20"/>
        </w:rPr>
        <w:t>On ne retire jamais un point gagné, et on ne conditionne jamais un besoin fondamental : repas, sommeil, soins, lien avec la famille, moyen de communication.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à jetons : 10 cases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