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rPr>
          <w:b/>
          <w:i w:val="0"/>
          <w:color w:val="5146D8"/>
          <w:sz w:val="17"/>
        </w:rPr>
        <w:t>SCÉNARIO SOCIAL · À ÉCRIRE</w:t>
      </w:r>
    </w:p>
    <w:p>
      <w:pPr>
        <w:spacing w:after="0"/>
      </w:pPr>
      <w:r>
        <w:rPr>
          <w:b/>
          <w:i w:val="0"/>
          <w:color w:val="1E2746"/>
          <w:sz w:val="44"/>
        </w:rPr>
        <w:t xml:space="preserve">ÉCRIRE </w:t>
      </w:r>
      <w:r>
        <w:rPr>
          <w:b/>
          <w:i w:val="0"/>
          <w:color w:val="5146D8"/>
          <w:sz w:val="44"/>
        </w:rPr>
        <w:t>UN SCÉNARIO SOCIAL</w:t>
      </w:r>
    </w:p>
    <w:p>
      <w:r>
        <w:rPr>
          <w:b w:val="0"/>
          <w:i/>
          <w:color w:val="5146D8"/>
          <w:sz w:val="24"/>
        </w:rPr>
        <w:t>une situation, huit cases</w:t>
      </w:r>
    </w:p>
    <w:p>
      <w:r>
        <w:rPr>
          <w:b w:val="0"/>
          <w:i w:val="0"/>
          <w:color w:val="5B6275"/>
          <w:sz w:val="17"/>
        </w:rPr>
        <w:t>Trame A4 · 2 pages · Gratuit · Association ADéPA</w:t>
      </w:r>
    </w:p>
    <w:p>
      <w:pPr>
        <w:spacing w:before="100" w:after="0"/>
      </w:pPr>
      <w:r>
        <w:rPr>
          <w:b/>
          <w:i w:val="0"/>
          <w:color w:val="5146D8"/>
          <w:sz w:val="17"/>
        </w:rPr>
        <w:t>La situation</w:t>
      </w:r>
    </w:p>
    <w:p>
      <w:pPr>
        <w:spacing w:after="0" w:before="200"/>
        <w:pBdr>
          <w:bottom w:val="dotted" w:sz="6" w:color="9AA1B4"/>
        </w:pBdr>
      </w:pPr>
    </w:p>
    <w:p>
      <w:pPr>
        <w:spacing w:before="100" w:after="0"/>
      </w:pPr>
      <w:r>
        <w:rPr>
          <w:b/>
          <w:i w:val="0"/>
          <w:color w:val="5146D8"/>
          <w:sz w:val="17"/>
        </w:rPr>
        <w:t>Pour</w:t>
      </w:r>
    </w:p>
    <w:p>
      <w:pPr>
        <w:spacing w:after="0" w:before="200"/>
        <w:pBdr>
          <w:bottom w:val="dotted" w:sz="6" w:color="9AA1B4"/>
        </w:pBdr>
      </w:pP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dashed" w:sz="8" w:color="9AA1B4"/>
          <w:left w:val="dashed" w:sz="8" w:color="9AA1B4"/>
          <w:bottom w:val="dashed" w:sz="8" w:color="9AA1B4"/>
          <w:right w:val="dashed" w:sz="8" w:color="9AA1B4"/>
          <w:insideH w:val="dashed" w:sz="8" w:color="9AA1B4"/>
          <w:insideV w:val="dashed" w:sz="8" w:color="9AA1B4"/>
        </w:tblBorders>
      </w:tblPr>
      <w:tblGrid>
        <w:gridCol w:w="5103"/>
        <w:gridCol w:w="5103"/>
      </w:tblGrid>
      <w:tr>
        <w:trPr>
          <w:trHeight w:val="2494" w:hRule="atLeast"/>
        </w:trPr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rPr>
          <w:trHeight w:val="2494" w:hRule="atLeast"/>
        </w:trPr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rPr>
          <w:trHeight w:val="2494" w:hRule="atLeast"/>
        </w:trPr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  <w:tr>
        <w:trPr>
          <w:trHeight w:val="2494" w:hRule="atLeast"/>
        </w:trPr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  <w:tc>
          <w:tcPr>
            <w:tcW w:type="dxa" w:w="5103"/>
          </w:tcPr>
          <w:p>
            <w:pPr>
              <w:jc w:val="center"/>
            </w:pPr>
          </w:p>
          <w:p>
            <w:pPr>
              <w:jc w:val="center"/>
            </w:pPr>
          </w:p>
        </w:tc>
      </w:tr>
    </w:tbl>
    <w:p/>
    <w:p>
      <w:r>
        <w:br w:type="page"/>
      </w:r>
    </w:p>
    <w:p>
      <w:pPr>
        <w:spacing w:before="160" w:after="60"/>
      </w:pPr>
      <w:r>
        <w:rPr>
          <w:b/>
          <w:i w:val="0"/>
          <w:color w:val="5146D8"/>
          <w:sz w:val="19"/>
        </w:rPr>
        <w:t>LES RÈGLES D’ÉCRITURE</w:t>
      </w:r>
    </w:p>
    <w:p>
      <w:pPr>
        <w:pStyle w:val="ListBullet"/>
      </w:pPr>
      <w:r>
        <w:rPr>
          <w:b w:val="0"/>
          <w:i w:val="0"/>
          <w:sz w:val="20"/>
        </w:rPr>
        <w:t>Écrire à la première personne et au présent : « Je vais chez le coiffeur. »</w:t>
      </w:r>
    </w:p>
    <w:p>
      <w:pPr>
        <w:pStyle w:val="ListBullet"/>
      </w:pPr>
      <w:r>
        <w:rPr>
          <w:b w:val="0"/>
          <w:i w:val="0"/>
          <w:sz w:val="20"/>
        </w:rPr>
        <w:t>Décrire ce qui va se passer, dans l’ordre, avec ce qu’on voit et ce qu’on entend.</w:t>
      </w:r>
    </w:p>
    <w:p>
      <w:pPr>
        <w:pStyle w:val="ListBullet"/>
      </w:pPr>
      <w:r>
        <w:rPr>
          <w:b w:val="0"/>
          <w:i w:val="0"/>
          <w:sz w:val="20"/>
        </w:rPr>
        <w:t>Dire ce que les autres pensent ou ressentent : « La coiffeuse est contente de m’aider. »</w:t>
      </w:r>
    </w:p>
    <w:p>
      <w:pPr>
        <w:pStyle w:val="ListBullet"/>
      </w:pPr>
      <w:r>
        <w:rPr>
          <w:b w:val="0"/>
          <w:i w:val="0"/>
          <w:sz w:val="20"/>
        </w:rPr>
        <w:t>Proposer ce que la personne PEUT faire, sans ordre : « Je peux tenir ma balle. »</w:t>
      </w:r>
    </w:p>
    <w:p>
      <w:pPr>
        <w:pStyle w:val="ListBullet"/>
      </w:pPr>
      <w:r>
        <w:rPr>
          <w:b w:val="0"/>
          <w:i w:val="0"/>
          <w:sz w:val="20"/>
        </w:rPr>
        <w:t>Prévoir ce qui peut changer : « Parfois, il faut attendre. »</w:t>
      </w:r>
    </w:p>
    <w:p>
      <w:pPr>
        <w:pStyle w:val="ListBullet"/>
      </w:pPr>
      <w:r>
        <w:rPr>
          <w:b w:val="0"/>
          <w:i w:val="0"/>
          <w:sz w:val="20"/>
        </w:rPr>
        <w:t>Finir sur une phrase rassurante et vraie.</w:t>
      </w:r>
    </w:p>
    <w:p>
      <w:pPr>
        <w:spacing w:before="160" w:after="60"/>
      </w:pPr>
      <w:r>
        <w:rPr>
          <w:b/>
          <w:i w:val="0"/>
          <w:color w:val="D9454B"/>
          <w:sz w:val="19"/>
        </w:rPr>
        <w:t>À ÉVITER</w:t>
      </w:r>
    </w:p>
    <w:p>
      <w:pPr>
        <w:pStyle w:val="ListBullet"/>
      </w:pPr>
      <w:r>
        <w:rPr>
          <w:b w:val="0"/>
          <w:i w:val="0"/>
          <w:sz w:val="20"/>
        </w:rPr>
        <w:t>« Je dois », « il faut », « je ne dois pas ».</w:t>
      </w:r>
    </w:p>
    <w:p>
      <w:pPr>
        <w:pStyle w:val="ListBullet"/>
      </w:pPr>
      <w:r>
        <w:rPr>
          <w:b w:val="0"/>
          <w:i w:val="0"/>
          <w:sz w:val="20"/>
        </w:rPr>
        <w:t>Les promesses qu’on ne peut pas tenir.</w:t>
      </w:r>
    </w:p>
    <w:p>
      <w:pPr>
        <w:pStyle w:val="ListBullet"/>
      </w:pPr>
      <w:r>
        <w:rPr>
          <w:b w:val="0"/>
          <w:i w:val="0"/>
          <w:sz w:val="20"/>
        </w:rPr>
        <w:t>Les images qui font peur.</w:t>
      </w:r>
    </w:p>
    <w:p>
      <w:pPr>
        <w:spacing w:before="160" w:after="60"/>
      </w:pPr>
      <w:r>
        <w:rPr>
          <w:b/>
          <w:i w:val="0"/>
          <w:color w:val="1F8A5B"/>
          <w:sz w:val="19"/>
        </w:rPr>
        <w:t>POUR BIEN L’UTILISER</w:t>
      </w:r>
    </w:p>
    <w:p>
      <w:pPr>
        <w:pStyle w:val="ListBullet"/>
      </w:pPr>
      <w:r>
        <w:rPr>
          <w:b w:val="0"/>
          <w:i w:val="0"/>
          <w:sz w:val="20"/>
        </w:rPr>
        <w:t>Le lire plusieurs jours avant, à un moment calme.</w:t>
      </w:r>
    </w:p>
    <w:p>
      <w:pPr>
        <w:pStyle w:val="ListBullet"/>
      </w:pPr>
      <w:r>
        <w:rPr>
          <w:b w:val="0"/>
          <w:i w:val="0"/>
          <w:sz w:val="20"/>
        </w:rPr>
        <w:t>Le relire juste avant la situation.</w:t>
      </w:r>
    </w:p>
    <w:p>
      <w:pPr>
        <w:pStyle w:val="ListBullet"/>
      </w:pPr>
      <w:r>
        <w:rPr>
          <w:b w:val="0"/>
          <w:i w:val="0"/>
          <w:sz w:val="20"/>
        </w:rPr>
        <w:t>Le garder pour le relire après, et le corriger si quelque chose était différent.</w:t>
      </w:r>
    </w:p>
    <w:sectPr w:rsidR="00FC693F" w:rsidRPr="0006063C" w:rsidSect="00034616">
      <w:footerReference w:type="default" r:id="rId9"/>
      <w:pgSz w:w="11906" w:h="16838"/>
      <w:pgMar w:top="737" w:right="850" w:bottom="737" w:left="85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b w:val="0"/>
        <w:i w:val="0"/>
        <w:color w:val="5B6275"/>
        <w:sz w:val="15"/>
      </w:rPr>
      <w:t>ADéPA · association loi 1901, Melun (77) · Outil gratuit, à utiliser et à copier librement dans votre structure, pas à revendre · les-extras.fr/ressources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color w:val="1E274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Trame vierge de scénario social</dc:title>
  <dc:subject/>
  <dc:creator>Association ADéPA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